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412" w:rsidRPr="004E6412" w:rsidRDefault="004E6412" w:rsidP="004E6412">
      <w:pPr>
        <w:spacing w:after="200" w:line="276" w:lineRule="auto"/>
        <w:rPr>
          <w:rFonts w:ascii="Times New Roman" w:eastAsia="Calibri" w:hAnsi="Times New Roman" w:cs="Times New Roman"/>
          <w:sz w:val="26"/>
          <w:szCs w:val="26"/>
          <w:lang w:val="es-MX"/>
        </w:rPr>
      </w:pPr>
      <w:r w:rsidRPr="004E6412">
        <w:rPr>
          <w:rFonts w:ascii="Times New Roman" w:eastAsia="Calibri" w:hAnsi="Times New Roman" w:cs="Times New Roman"/>
          <w:sz w:val="26"/>
          <w:szCs w:val="26"/>
          <w:lang w:val="es-MX"/>
        </w:rPr>
        <w:t xml:space="preserve">                                                                                                                                                                                                                                                                                                                                                                                                     </w:t>
      </w:r>
    </w:p>
    <w:p w:rsidR="004E6412" w:rsidRPr="004E6412" w:rsidRDefault="004E6412" w:rsidP="004E6412">
      <w:pPr>
        <w:spacing w:after="0" w:line="276" w:lineRule="auto"/>
        <w:jc w:val="center"/>
        <w:rPr>
          <w:rFonts w:ascii="Times New Roman" w:eastAsia="Calibri" w:hAnsi="Times New Roman" w:cs="Times New Roman"/>
          <w:b/>
          <w:sz w:val="26"/>
          <w:szCs w:val="26"/>
        </w:rPr>
      </w:pPr>
      <w:r w:rsidRPr="004E6412">
        <w:rPr>
          <w:rFonts w:ascii="Times New Roman" w:eastAsia="Calibri" w:hAnsi="Times New Roman" w:cs="Times New Roman"/>
          <w:b/>
          <w:sz w:val="26"/>
          <w:szCs w:val="26"/>
        </w:rPr>
        <w:t>RESOLUCIÓN No. TAT-3069-2016</w:t>
      </w:r>
    </w:p>
    <w:p w:rsidR="004E6412" w:rsidRPr="004E6412" w:rsidRDefault="004E6412" w:rsidP="004E6412">
      <w:pPr>
        <w:spacing w:after="0" w:line="276" w:lineRule="auto"/>
        <w:jc w:val="center"/>
        <w:rPr>
          <w:rFonts w:ascii="Times New Roman" w:eastAsia="Calibri" w:hAnsi="Times New Roman" w:cs="Times New Roman"/>
          <w:b/>
          <w:sz w:val="26"/>
          <w:szCs w:val="26"/>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 xml:space="preserve">TRIBUNAL ADMINISTRATIVO DE TRANSPORTE.  </w:t>
      </w:r>
      <w:r w:rsidRPr="004E6412">
        <w:rPr>
          <w:rFonts w:ascii="Times New Roman" w:eastAsia="Calibri" w:hAnsi="Times New Roman" w:cs="Times New Roman"/>
          <w:sz w:val="26"/>
          <w:szCs w:val="26"/>
        </w:rPr>
        <w:t xml:space="preserve">San José, a las 10:15 horas del día Treinta y Uno de Agosto del Dos Mil </w:t>
      </w:r>
      <w:proofErr w:type="gramStart"/>
      <w:r w:rsidRPr="004E6412">
        <w:rPr>
          <w:rFonts w:ascii="Times New Roman" w:eastAsia="Calibri" w:hAnsi="Times New Roman" w:cs="Times New Roman"/>
          <w:sz w:val="26"/>
          <w:szCs w:val="26"/>
        </w:rPr>
        <w:t>Dieciséis.----------------------------</w:t>
      </w:r>
      <w:proofErr w:type="gramEnd"/>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sz w:val="26"/>
          <w:szCs w:val="26"/>
        </w:rPr>
        <w:t xml:space="preserve">Se procede por este medio a realizar Aclaración meritoria en cuanto a la Resolución No. TAT-3026-2016, emitida por este Tribunal a las 10:13 horas del día Veintinueve del mes de Junio del año en </w:t>
      </w:r>
      <w:proofErr w:type="gramStart"/>
      <w:r w:rsidRPr="004E6412">
        <w:rPr>
          <w:rFonts w:ascii="Times New Roman" w:eastAsia="Calibri" w:hAnsi="Times New Roman" w:cs="Times New Roman"/>
          <w:sz w:val="26"/>
          <w:szCs w:val="26"/>
        </w:rPr>
        <w:t>curso.-</w:t>
      </w:r>
      <w:proofErr w:type="gramEnd"/>
      <w:r w:rsidRPr="004E6412">
        <w:rPr>
          <w:rFonts w:ascii="Times New Roman" w:eastAsia="Calibri" w:hAnsi="Times New Roman" w:cs="Times New Roman"/>
          <w:sz w:val="26"/>
          <w:szCs w:val="26"/>
        </w:rPr>
        <w:t xml:space="preserve"> </w:t>
      </w:r>
      <w:r w:rsidRPr="004E6412">
        <w:rPr>
          <w:rFonts w:ascii="Times New Roman" w:eastAsia="Calibri" w:hAnsi="Times New Roman" w:cs="Times New Roman"/>
          <w:b/>
          <w:i/>
          <w:sz w:val="26"/>
          <w:szCs w:val="26"/>
        </w:rPr>
        <w:t>EXPEDIENTE No. TAT-046-16.-</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center"/>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Resultando</w:t>
      </w: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Primero:</w:t>
      </w:r>
      <w:r w:rsidRPr="004E6412">
        <w:rPr>
          <w:rFonts w:ascii="Times New Roman" w:eastAsia="Calibri" w:hAnsi="Times New Roman" w:cs="Times New Roman"/>
          <w:sz w:val="26"/>
          <w:szCs w:val="26"/>
        </w:rPr>
        <w:tab/>
        <w:t xml:space="preserve">Mediante nuestra Resolución aludida, este Tribunal conoció de las Acciones de Alzada presentadas por el Señor LACM, contra el Acuerdo No. 7.4.5 de la Sesión Ordinaria No. 15-2016 de la Junta Directiva del Consejo de Transporte Público, de fecha 30 de </w:t>
      </w:r>
      <w:proofErr w:type="gramStart"/>
      <w:r w:rsidRPr="004E6412">
        <w:rPr>
          <w:rFonts w:ascii="Times New Roman" w:eastAsia="Calibri" w:hAnsi="Times New Roman" w:cs="Times New Roman"/>
          <w:sz w:val="26"/>
          <w:szCs w:val="26"/>
        </w:rPr>
        <w:t>Marzo</w:t>
      </w:r>
      <w:proofErr w:type="gramEnd"/>
      <w:r w:rsidRPr="004E6412">
        <w:rPr>
          <w:rFonts w:ascii="Times New Roman" w:eastAsia="Calibri" w:hAnsi="Times New Roman" w:cs="Times New Roman"/>
          <w:sz w:val="26"/>
          <w:szCs w:val="26"/>
        </w:rPr>
        <w:t xml:space="preserve"> del 2016; y vino a disponer el Acoger tales Acciones, señalando al efecto:</w:t>
      </w:r>
    </w:p>
    <w:p w:rsidR="004E6412" w:rsidRPr="004E6412" w:rsidRDefault="004E6412" w:rsidP="004E6412">
      <w:pPr>
        <w:spacing w:before="100" w:beforeAutospacing="1" w:after="100" w:afterAutospacing="1" w:line="276" w:lineRule="auto"/>
        <w:ind w:left="567" w:right="616"/>
        <w:jc w:val="center"/>
        <w:rPr>
          <w:rFonts w:ascii="Cambria" w:eastAsia="Calibri" w:hAnsi="Cambria" w:cs="Arial"/>
          <w:b/>
          <w:i/>
          <w:color w:val="000000"/>
          <w:sz w:val="26"/>
          <w:szCs w:val="26"/>
        </w:rPr>
      </w:pPr>
      <w:proofErr w:type="gramStart"/>
      <w:r w:rsidRPr="004E6412">
        <w:rPr>
          <w:rFonts w:ascii="Cambria" w:eastAsia="Calibri" w:hAnsi="Cambria" w:cs="Arial"/>
          <w:b/>
          <w:i/>
          <w:color w:val="000000"/>
          <w:sz w:val="26"/>
          <w:szCs w:val="26"/>
        </w:rPr>
        <w:t>…”Por</w:t>
      </w:r>
      <w:proofErr w:type="gramEnd"/>
      <w:r w:rsidRPr="004E6412">
        <w:rPr>
          <w:rFonts w:ascii="Cambria" w:eastAsia="Calibri" w:hAnsi="Cambria" w:cs="Arial"/>
          <w:b/>
          <w:i/>
          <w:color w:val="000000"/>
          <w:sz w:val="26"/>
          <w:szCs w:val="26"/>
        </w:rPr>
        <w:t xml:space="preserve"> Tanto</w:t>
      </w:r>
    </w:p>
    <w:p w:rsidR="004E6412" w:rsidRPr="004E6412" w:rsidRDefault="004E6412" w:rsidP="004E6412">
      <w:pPr>
        <w:spacing w:after="0" w:line="240" w:lineRule="auto"/>
        <w:ind w:left="567" w:right="616"/>
        <w:jc w:val="both"/>
        <w:rPr>
          <w:rFonts w:ascii="Cambria" w:eastAsia="Calibri" w:hAnsi="Cambria" w:cs="Times New Roman"/>
          <w:sz w:val="26"/>
          <w:szCs w:val="26"/>
        </w:rPr>
      </w:pPr>
      <w:r w:rsidRPr="004E6412">
        <w:rPr>
          <w:rFonts w:ascii="Cambria" w:eastAsia="Calibri" w:hAnsi="Cambria" w:cs="Times New Roman"/>
          <w:b/>
          <w:sz w:val="26"/>
          <w:szCs w:val="26"/>
        </w:rPr>
        <w:t>I.-</w:t>
      </w:r>
      <w:r w:rsidRPr="004E6412">
        <w:rPr>
          <w:rFonts w:ascii="Cambria" w:eastAsia="Calibri" w:hAnsi="Cambria" w:cs="Times New Roman"/>
          <w:b/>
          <w:sz w:val="26"/>
          <w:szCs w:val="26"/>
        </w:rPr>
        <w:tab/>
      </w:r>
      <w:r w:rsidRPr="004E6412">
        <w:rPr>
          <w:rFonts w:ascii="Cambria" w:eastAsia="Calibri" w:hAnsi="Cambria" w:cs="Times New Roman"/>
          <w:sz w:val="26"/>
          <w:szCs w:val="26"/>
        </w:rPr>
        <w:t xml:space="preserve">Se Declara </w:t>
      </w:r>
      <w:r w:rsidRPr="004E6412">
        <w:rPr>
          <w:rFonts w:ascii="Cambria" w:eastAsia="Calibri" w:hAnsi="Cambria" w:cs="Times New Roman"/>
          <w:b/>
          <w:sz w:val="26"/>
          <w:szCs w:val="26"/>
          <w:u w:val="single"/>
        </w:rPr>
        <w:t>CON LUGAR</w:t>
      </w:r>
      <w:r w:rsidRPr="004E6412">
        <w:rPr>
          <w:rFonts w:ascii="Cambria" w:eastAsia="Calibri" w:hAnsi="Cambria" w:cs="Times New Roman"/>
          <w:b/>
          <w:sz w:val="26"/>
          <w:szCs w:val="26"/>
        </w:rPr>
        <w:t xml:space="preserve"> </w:t>
      </w:r>
      <w:r w:rsidRPr="004E6412">
        <w:rPr>
          <w:rFonts w:ascii="Cambria" w:eastAsia="Calibri" w:hAnsi="Cambria" w:cs="Times New Roman"/>
          <w:sz w:val="26"/>
          <w:szCs w:val="26"/>
        </w:rPr>
        <w:t xml:space="preserve">el </w:t>
      </w:r>
      <w:r w:rsidRPr="004E6412">
        <w:rPr>
          <w:rFonts w:ascii="Cambria" w:eastAsia="Calibri" w:hAnsi="Cambria" w:cs="Times New Roman"/>
          <w:b/>
          <w:sz w:val="26"/>
          <w:szCs w:val="26"/>
        </w:rPr>
        <w:t>RECURSO DE APELACIÓN</w:t>
      </w:r>
      <w:r w:rsidRPr="004E6412">
        <w:rPr>
          <w:rFonts w:ascii="Cambria" w:eastAsia="Calibri" w:hAnsi="Cambria" w:cs="Times New Roman"/>
          <w:sz w:val="26"/>
          <w:szCs w:val="26"/>
        </w:rPr>
        <w:t xml:space="preserve"> presentado por el Licenciado </w:t>
      </w:r>
      <w:r w:rsidR="001A673E">
        <w:rPr>
          <w:rFonts w:ascii="Cambria" w:eastAsia="Calibri" w:hAnsi="Cambria" w:cs="Times New Roman"/>
          <w:sz w:val="26"/>
          <w:szCs w:val="26"/>
        </w:rPr>
        <w:t>RAP</w:t>
      </w:r>
      <w:r w:rsidRPr="004E6412">
        <w:rPr>
          <w:rFonts w:ascii="Cambria" w:eastAsia="Calibri" w:hAnsi="Cambria" w:cs="Times New Roman"/>
          <w:sz w:val="26"/>
          <w:szCs w:val="26"/>
        </w:rPr>
        <w:t xml:space="preserve">, de calidades conocidas, portador de la cédula de identidad número </w:t>
      </w:r>
      <w:r w:rsidR="001A673E">
        <w:rPr>
          <w:rFonts w:ascii="Cambria" w:eastAsia="Calibri" w:hAnsi="Cambria" w:cs="Times New Roman"/>
          <w:sz w:val="26"/>
          <w:szCs w:val="26"/>
        </w:rPr>
        <w:t>…</w:t>
      </w:r>
      <w:r w:rsidRPr="004E6412">
        <w:rPr>
          <w:rFonts w:ascii="Cambria" w:eastAsia="Calibri" w:hAnsi="Cambria" w:cs="Times New Roman"/>
          <w:sz w:val="26"/>
          <w:szCs w:val="26"/>
        </w:rPr>
        <w:t xml:space="preserve">, quien actúa como Apoderado Especial del Señor </w:t>
      </w:r>
      <w:r w:rsidR="001A673E">
        <w:rPr>
          <w:rFonts w:ascii="Cambria" w:eastAsia="Calibri" w:hAnsi="Cambria" w:cs="Times New Roman"/>
          <w:b/>
          <w:sz w:val="26"/>
          <w:szCs w:val="26"/>
        </w:rPr>
        <w:t>LACM</w:t>
      </w:r>
      <w:r w:rsidRPr="004E6412">
        <w:rPr>
          <w:rFonts w:ascii="Cambria" w:eastAsia="Calibri" w:hAnsi="Cambria" w:cs="Times New Roman"/>
          <w:sz w:val="26"/>
          <w:szCs w:val="26"/>
        </w:rPr>
        <w:t xml:space="preserve">, también de calidades conocidas, Concesionario del Servicio Público de Taxi con la Placa No. </w:t>
      </w:r>
      <w:r w:rsidRPr="004E6412">
        <w:rPr>
          <w:rFonts w:ascii="Cambria" w:eastAsia="Calibri" w:hAnsi="Cambria" w:cs="Times New Roman"/>
          <w:b/>
          <w:sz w:val="26"/>
          <w:szCs w:val="26"/>
          <w:u w:val="single"/>
        </w:rPr>
        <w:t>TA-</w:t>
      </w:r>
      <w:r w:rsidR="001A673E">
        <w:rPr>
          <w:rFonts w:ascii="Cambria" w:eastAsia="Calibri" w:hAnsi="Cambria" w:cs="Times New Roman"/>
          <w:b/>
          <w:sz w:val="26"/>
          <w:szCs w:val="26"/>
          <w:u w:val="single"/>
        </w:rPr>
        <w:t>…</w:t>
      </w:r>
      <w:r w:rsidRPr="004E6412">
        <w:rPr>
          <w:rFonts w:ascii="Cambria" w:eastAsia="Calibri" w:hAnsi="Cambria" w:cs="Times New Roman"/>
          <w:sz w:val="26"/>
          <w:szCs w:val="26"/>
        </w:rPr>
        <w:t xml:space="preserve"> y portador de la cédula de identidad número</w:t>
      </w:r>
      <w:proofErr w:type="gramStart"/>
      <w:r w:rsidRPr="004E6412">
        <w:rPr>
          <w:rFonts w:ascii="Cambria" w:eastAsia="Calibri" w:hAnsi="Cambria" w:cs="Times New Roman"/>
          <w:sz w:val="26"/>
          <w:szCs w:val="26"/>
        </w:rPr>
        <w:t xml:space="preserve"> </w:t>
      </w:r>
      <w:r w:rsidR="001A673E">
        <w:rPr>
          <w:rFonts w:ascii="Cambria" w:eastAsia="Calibri" w:hAnsi="Cambria" w:cs="Times New Roman"/>
          <w:sz w:val="26"/>
          <w:szCs w:val="26"/>
        </w:rPr>
        <w:t>….</w:t>
      </w:r>
      <w:bookmarkStart w:id="0" w:name="_GoBack"/>
      <w:bookmarkEnd w:id="0"/>
      <w:proofErr w:type="gramEnd"/>
      <w:r w:rsidRPr="004E6412">
        <w:rPr>
          <w:rFonts w:ascii="Cambria" w:eastAsia="Calibri" w:hAnsi="Cambria" w:cs="Times New Roman"/>
          <w:bCs/>
          <w:spacing w:val="9"/>
          <w:sz w:val="26"/>
          <w:szCs w:val="26"/>
          <w:lang w:val="es-ES" w:eastAsia="es-ES"/>
        </w:rPr>
        <w:t>, contra el Acuerdo No. 7.4.5 de la Sesión Ordinaria No. 15-2016 de la Junta Directiva del Consejo de Transporte Público de fecha 30 de Marzo del 2016.</w:t>
      </w:r>
    </w:p>
    <w:p w:rsidR="004E6412" w:rsidRPr="004E6412" w:rsidRDefault="004E6412" w:rsidP="004E6412">
      <w:pPr>
        <w:overflowPunct w:val="0"/>
        <w:spacing w:before="176" w:after="200" w:line="276" w:lineRule="auto"/>
        <w:ind w:left="567" w:right="616"/>
        <w:jc w:val="both"/>
        <w:textAlignment w:val="baseline"/>
        <w:rPr>
          <w:rFonts w:ascii="Cambria" w:eastAsia="Calibri" w:hAnsi="Cambria" w:cs="Times New Roman"/>
          <w:sz w:val="26"/>
          <w:szCs w:val="26"/>
          <w:lang w:val="es-ES" w:eastAsia="es-ES"/>
        </w:rPr>
      </w:pPr>
      <w:r w:rsidRPr="004E6412">
        <w:rPr>
          <w:rFonts w:ascii="Cambria" w:eastAsia="Calibri" w:hAnsi="Cambria" w:cs="Times New Roman"/>
          <w:b/>
          <w:sz w:val="26"/>
          <w:szCs w:val="26"/>
          <w:lang w:val="es-ES" w:eastAsia="es-ES"/>
        </w:rPr>
        <w:t>II.-</w:t>
      </w:r>
      <w:r w:rsidRPr="004E6412">
        <w:rPr>
          <w:rFonts w:ascii="Cambria" w:eastAsia="Calibri" w:hAnsi="Cambria" w:cs="Times New Roman"/>
          <w:sz w:val="26"/>
          <w:szCs w:val="26"/>
          <w:lang w:val="es-ES" w:eastAsia="es-ES"/>
        </w:rPr>
        <w:tab/>
        <w:t>Conforme las disposiciones del Artículo No. 16 de la Ley No. 7969 se recuerda que los fallos de este Tribunal son de acatamiento inmediato, estricto y obligatorio.</w:t>
      </w:r>
    </w:p>
    <w:p w:rsidR="004E6412" w:rsidRPr="004E6412" w:rsidRDefault="004E6412" w:rsidP="004E6412">
      <w:pPr>
        <w:overflowPunct w:val="0"/>
        <w:spacing w:before="216" w:after="200" w:line="276" w:lineRule="auto"/>
        <w:ind w:left="567" w:right="616"/>
        <w:jc w:val="both"/>
        <w:textAlignment w:val="baseline"/>
        <w:rPr>
          <w:rFonts w:ascii="Cambria" w:eastAsia="Calibri" w:hAnsi="Cambria" w:cs="Times New Roman"/>
          <w:i/>
          <w:iCs/>
          <w:sz w:val="26"/>
          <w:szCs w:val="26"/>
          <w:lang w:val="es-ES" w:eastAsia="es-ES"/>
        </w:rPr>
      </w:pPr>
      <w:r w:rsidRPr="004E6412">
        <w:rPr>
          <w:rFonts w:ascii="Cambria" w:eastAsia="Calibri" w:hAnsi="Cambria" w:cs="Times New Roman"/>
          <w:b/>
          <w:sz w:val="26"/>
          <w:szCs w:val="26"/>
          <w:lang w:val="es-ES" w:eastAsia="es-ES"/>
        </w:rPr>
        <w:t>III.-</w:t>
      </w:r>
      <w:r w:rsidRPr="004E6412">
        <w:rPr>
          <w:rFonts w:ascii="Cambria" w:eastAsia="Calibri" w:hAnsi="Cambria" w:cs="Times New Roman"/>
          <w:sz w:val="26"/>
          <w:szCs w:val="26"/>
          <w:lang w:val="es-ES" w:eastAsia="es-ES"/>
        </w:rPr>
        <w:tab/>
        <w:t xml:space="preserve">Por carecer la presente resolución de ulterior recurso en sede administrativa, de conformidad con los artículos 16 y 22, inciso c), de la Ley 7969, </w:t>
      </w:r>
      <w:r w:rsidRPr="004E6412">
        <w:rPr>
          <w:rFonts w:ascii="Cambria" w:eastAsia="Calibri" w:hAnsi="Cambria" w:cs="Times New Roman"/>
          <w:i/>
          <w:iCs/>
          <w:sz w:val="26"/>
          <w:szCs w:val="26"/>
          <w:lang w:val="es-ES" w:eastAsia="es-ES"/>
        </w:rPr>
        <w:t>se da por agotada la vía administrativa</w:t>
      </w:r>
      <w:proofErr w:type="gramStart"/>
      <w:r w:rsidRPr="004E6412">
        <w:rPr>
          <w:rFonts w:ascii="Cambria" w:eastAsia="Calibri" w:hAnsi="Cambria" w:cs="Times New Roman"/>
          <w:i/>
          <w:iCs/>
          <w:sz w:val="26"/>
          <w:szCs w:val="26"/>
          <w:lang w:val="es-ES" w:eastAsia="es-ES"/>
        </w:rPr>
        <w:t>.”…</w:t>
      </w:r>
      <w:proofErr w:type="gramEnd"/>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lastRenderedPageBreak/>
        <w:t>Segundo:</w:t>
      </w:r>
      <w:r w:rsidRPr="004E6412">
        <w:rPr>
          <w:rFonts w:ascii="Times New Roman" w:eastAsia="Calibri" w:hAnsi="Times New Roman" w:cs="Times New Roman"/>
          <w:sz w:val="26"/>
          <w:szCs w:val="26"/>
        </w:rPr>
        <w:tab/>
        <w:t>En lo actual y ya Notificada la Resolución antes dicha, este Tribunal se ha percatado de la utilización como una parte del contenido de la misma de lo dispuesto por el numeral 2 de la Ley No. 7969, según la reforma introducida mediante el artículo 2 de la Ley No. 8955. Y de que tal Ley se encuentra cuestionada -</w:t>
      </w:r>
      <w:r w:rsidRPr="004E6412">
        <w:rPr>
          <w:rFonts w:ascii="Times New Roman" w:eastAsia="Calibri" w:hAnsi="Times New Roman" w:cs="Times New Roman"/>
          <w:i/>
          <w:sz w:val="26"/>
          <w:szCs w:val="26"/>
        </w:rPr>
        <w:t>de forma general</w:t>
      </w:r>
      <w:r w:rsidRPr="004E6412">
        <w:rPr>
          <w:rFonts w:ascii="Times New Roman" w:eastAsia="Calibri" w:hAnsi="Times New Roman" w:cs="Times New Roman"/>
          <w:sz w:val="26"/>
          <w:szCs w:val="26"/>
        </w:rPr>
        <w:t xml:space="preserve">- mediante la Acción de Inconstitucionalidad No. 15-015456-0007-CO, en trámite ante la Sala Constitucional y a la cual se diera curso mediante Resolución de las 15:58 horas del día 11 de </w:t>
      </w:r>
      <w:proofErr w:type="gramStart"/>
      <w:r w:rsidRPr="004E6412">
        <w:rPr>
          <w:rFonts w:ascii="Times New Roman" w:eastAsia="Calibri" w:hAnsi="Times New Roman" w:cs="Times New Roman"/>
          <w:sz w:val="26"/>
          <w:szCs w:val="26"/>
        </w:rPr>
        <w:t>Febrero</w:t>
      </w:r>
      <w:proofErr w:type="gramEnd"/>
      <w:r w:rsidRPr="004E6412">
        <w:rPr>
          <w:rFonts w:ascii="Times New Roman" w:eastAsia="Calibri" w:hAnsi="Times New Roman" w:cs="Times New Roman"/>
          <w:sz w:val="26"/>
          <w:szCs w:val="26"/>
        </w:rPr>
        <w:t xml:space="preserve"> del 2016, según publicaciones realizadas en el Boletín Judicial No. 50 y siguientes (</w:t>
      </w:r>
      <w:r w:rsidRPr="004E6412">
        <w:rPr>
          <w:rFonts w:ascii="Times New Roman" w:eastAsia="Calibri" w:hAnsi="Times New Roman" w:cs="Times New Roman"/>
          <w:i/>
          <w:sz w:val="26"/>
          <w:szCs w:val="26"/>
        </w:rPr>
        <w:t>emitidos a partir de esa fecha</w:t>
      </w:r>
      <w:r w:rsidRPr="004E6412">
        <w:rPr>
          <w:rFonts w:ascii="Times New Roman" w:eastAsia="Calibri" w:hAnsi="Times New Roman" w:cs="Times New Roman"/>
          <w:sz w:val="26"/>
          <w:szCs w:val="26"/>
        </w:rPr>
        <w:t>).</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Tercero:</w:t>
      </w:r>
      <w:r w:rsidRPr="004E6412">
        <w:rPr>
          <w:rFonts w:ascii="Times New Roman" w:eastAsia="Calibri" w:hAnsi="Times New Roman" w:cs="Times New Roman"/>
          <w:sz w:val="26"/>
          <w:szCs w:val="26"/>
        </w:rPr>
        <w:tab/>
        <w:t>Dado que las Publicaciones del Curso de la Acción de Inconstitucionalidad aludida conllevaban la que la Norma cuestionada no pudiera ser utilizada en cuanto al dictado de actos de agotamiento de la vía administrativa, la utilización parcial e involuntaria del numeral 2 de la Ley No. 7969, según la reforma introducida mediante el artículo 2 de la Ley No. 8955, debe ser aclarada y corregida conducentemente y según lo que se dispone por este medio.</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Cuarto:</w:t>
      </w:r>
      <w:r w:rsidRPr="004E6412">
        <w:rPr>
          <w:rFonts w:ascii="Times New Roman" w:eastAsia="Calibri" w:hAnsi="Times New Roman" w:cs="Times New Roman"/>
          <w:sz w:val="26"/>
          <w:szCs w:val="26"/>
        </w:rPr>
        <w:tab/>
        <w:t xml:space="preserve">Conforme a lo expresado </w:t>
      </w:r>
      <w:r w:rsidRPr="004E6412">
        <w:rPr>
          <w:rFonts w:ascii="Times New Roman" w:eastAsia="Calibri" w:hAnsi="Times New Roman" w:cs="Times New Roman"/>
          <w:i/>
          <w:sz w:val="26"/>
          <w:szCs w:val="26"/>
        </w:rPr>
        <w:t>supra</w:t>
      </w:r>
      <w:r w:rsidRPr="004E6412">
        <w:rPr>
          <w:rFonts w:ascii="Times New Roman" w:eastAsia="Calibri" w:hAnsi="Times New Roman" w:cs="Times New Roman"/>
          <w:sz w:val="26"/>
          <w:szCs w:val="26"/>
        </w:rPr>
        <w:t xml:space="preserve"> y según lo que se consigna de seguido, en observancia de los términos y prescripciones de Ley, procede a aclarar y a disponer este Tribunal.</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REDACTA EL JUEZ QUESADA AGUIRRE,</w:t>
      </w:r>
    </w:p>
    <w:p w:rsidR="004E6412" w:rsidRPr="004E6412" w:rsidRDefault="004E6412" w:rsidP="004E6412">
      <w:pPr>
        <w:spacing w:after="200" w:line="276" w:lineRule="auto"/>
        <w:jc w:val="center"/>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Considerando Único</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sz w:val="26"/>
          <w:szCs w:val="26"/>
        </w:rPr>
        <w:t xml:space="preserve">En cuanto al Caso que nos ocupa se tiene que este Tribunal definió una Situación de Impugnación de una Cancelación/Caducidad de Concesión de Taxi que se ha dado mediante una Actuación de la Junta Directiva del Consejo de Transporte Público y por una Supuesta Falta en cuanto al Dejar y/o Recoger Pasaje en una Base de Operación Distinta a la Asignada al Concesionario que se determina como Infractor. Determinando VARIAS RAZONES por las cuales, desde la perspectiva de la Legalidad, tal Sanción NO SERÍA OPERANTE. Razones que en sentido </w:t>
      </w:r>
      <w:r w:rsidRPr="004E6412">
        <w:rPr>
          <w:rFonts w:ascii="Times New Roman" w:eastAsia="Calibri" w:hAnsi="Times New Roman" w:cs="Times New Roman"/>
          <w:i/>
          <w:sz w:val="26"/>
          <w:szCs w:val="26"/>
        </w:rPr>
        <w:t>laxo</w:t>
      </w:r>
      <w:r w:rsidRPr="004E6412">
        <w:rPr>
          <w:rFonts w:ascii="Times New Roman" w:eastAsia="Calibri" w:hAnsi="Times New Roman" w:cs="Times New Roman"/>
          <w:sz w:val="26"/>
          <w:szCs w:val="26"/>
        </w:rPr>
        <w:t xml:space="preserve"> se resumen así:</w:t>
      </w: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a.-</w:t>
      </w:r>
      <w:r w:rsidRPr="004E6412">
        <w:rPr>
          <w:rFonts w:ascii="Times New Roman" w:eastAsia="Calibri" w:hAnsi="Times New Roman" w:cs="Times New Roman"/>
          <w:b/>
          <w:i/>
          <w:sz w:val="26"/>
          <w:szCs w:val="26"/>
        </w:rPr>
        <w:tab/>
        <w:t>Infracción a la Presunción de Inocencia y, per se, Falta de Firmeza de la Boleta de Citación o Parte que sirviera como Base para el Procedimiento Sancionatorio llevado contra el Concesionario afectado y que desembocara en la Actuación de cancelación de Concesión Objetada.</w:t>
      </w: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lastRenderedPageBreak/>
        <w:t>b.-</w:t>
      </w:r>
      <w:r w:rsidRPr="004E6412">
        <w:rPr>
          <w:rFonts w:ascii="Times New Roman" w:eastAsia="Calibri" w:hAnsi="Times New Roman" w:cs="Times New Roman"/>
          <w:b/>
          <w:i/>
          <w:sz w:val="26"/>
          <w:szCs w:val="26"/>
        </w:rPr>
        <w:tab/>
        <w:t xml:space="preserve">Posibilidad Operativa de que un Operador de Taxi pueda, dentro de sus Deberes Generales como tal y según Requerimiento de los Usuarios, ir a dejar y/o a recoger pasaje a lugares más allá de su Base de Operaciones. </w:t>
      </w:r>
      <w:r w:rsidRPr="004E6412">
        <w:rPr>
          <w:rFonts w:ascii="Times New Roman" w:eastAsia="Calibri" w:hAnsi="Times New Roman" w:cs="Times New Roman"/>
          <w:b/>
          <w:i/>
          <w:sz w:val="26"/>
          <w:szCs w:val="26"/>
          <w:u w:val="single"/>
        </w:rPr>
        <w:t>Completándose tal criterio con el texto del numeral 2 de la Ley No. 7969, según la reforma introducida mediante el artículo 2 de la Ley No. 8955 (situación que se depura por este medio)</w:t>
      </w:r>
      <w:r w:rsidRPr="004E6412">
        <w:rPr>
          <w:rFonts w:ascii="Times New Roman" w:eastAsia="Calibri" w:hAnsi="Times New Roman" w:cs="Times New Roman"/>
          <w:b/>
          <w:i/>
          <w:sz w:val="26"/>
          <w:szCs w:val="26"/>
        </w:rPr>
        <w:t>.</w:t>
      </w: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c.-</w:t>
      </w:r>
      <w:r w:rsidRPr="004E6412">
        <w:rPr>
          <w:rFonts w:ascii="Times New Roman" w:eastAsia="Calibri" w:hAnsi="Times New Roman" w:cs="Times New Roman"/>
          <w:b/>
          <w:i/>
          <w:sz w:val="26"/>
          <w:szCs w:val="26"/>
        </w:rPr>
        <w:tab/>
        <w:t>No Adecuación de la Situación de Hecho Intimada, cual fue la de Abandono de la Base de Operaciones, con la Situación de hecho que se diera en cuanto al Concesionario Sancionado (Dejar y/o Recoger Pasaje en una Zona o Lugar No Autorizado).</w:t>
      </w: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d.-</w:t>
      </w:r>
      <w:r w:rsidRPr="004E6412">
        <w:rPr>
          <w:rFonts w:ascii="Times New Roman" w:eastAsia="Calibri" w:hAnsi="Times New Roman" w:cs="Times New Roman"/>
          <w:b/>
          <w:i/>
          <w:sz w:val="26"/>
          <w:szCs w:val="26"/>
        </w:rPr>
        <w:tab/>
        <w:t>Falta de Análisis sobre el Sujeto Activo de la Infracción (quien la cometió, sí fue el Concesionario o un Chofer), a efecto del curso debido de la Sanción.</w:t>
      </w:r>
    </w:p>
    <w:p w:rsidR="004E6412" w:rsidRPr="004E6412" w:rsidRDefault="004E6412" w:rsidP="004E6412">
      <w:pPr>
        <w:spacing w:after="200" w:line="276" w:lineRule="auto"/>
        <w:jc w:val="both"/>
        <w:rPr>
          <w:rFonts w:ascii="Times New Roman" w:eastAsia="Calibri" w:hAnsi="Times New Roman" w:cs="Times New Roman"/>
          <w:b/>
          <w:i/>
          <w:sz w:val="26"/>
          <w:szCs w:val="26"/>
        </w:rPr>
      </w:pPr>
      <w:proofErr w:type="spellStart"/>
      <w:r w:rsidRPr="004E6412">
        <w:rPr>
          <w:rFonts w:ascii="Times New Roman" w:eastAsia="Calibri" w:hAnsi="Times New Roman" w:cs="Times New Roman"/>
          <w:b/>
          <w:i/>
          <w:sz w:val="26"/>
          <w:szCs w:val="26"/>
        </w:rPr>
        <w:t>e</w:t>
      </w:r>
      <w:proofErr w:type="spellEnd"/>
      <w:r w:rsidRPr="004E6412">
        <w:rPr>
          <w:rFonts w:ascii="Times New Roman" w:eastAsia="Calibri" w:hAnsi="Times New Roman" w:cs="Times New Roman"/>
          <w:b/>
          <w:i/>
          <w:sz w:val="26"/>
          <w:szCs w:val="26"/>
        </w:rPr>
        <w:t>.-</w:t>
      </w:r>
      <w:r w:rsidRPr="004E6412">
        <w:rPr>
          <w:rFonts w:ascii="Times New Roman" w:eastAsia="Calibri" w:hAnsi="Times New Roman" w:cs="Times New Roman"/>
          <w:b/>
          <w:i/>
          <w:sz w:val="26"/>
          <w:szCs w:val="26"/>
        </w:rPr>
        <w:tab/>
        <w:t>Generación de Vicios de Falta de Motivación y de Fundamentación en el Acto Sancionador.</w:t>
      </w:r>
    </w:p>
    <w:p w:rsidR="004E6412" w:rsidRPr="004E6412" w:rsidRDefault="004E6412" w:rsidP="004E6412">
      <w:pPr>
        <w:spacing w:after="200" w:line="276" w:lineRule="auto"/>
        <w:jc w:val="both"/>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f.-</w:t>
      </w:r>
      <w:r w:rsidRPr="004E6412">
        <w:rPr>
          <w:rFonts w:ascii="Times New Roman" w:eastAsia="Calibri" w:hAnsi="Times New Roman" w:cs="Times New Roman"/>
          <w:b/>
          <w:i/>
          <w:sz w:val="26"/>
          <w:szCs w:val="26"/>
        </w:rPr>
        <w:tab/>
        <w:t>No Gravedad en cuanto a la Supuesta Falta, de ser esta procedente, a efecto de generar la Caducidad o Cancelación de la Concesión.</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sz w:val="26"/>
          <w:szCs w:val="26"/>
        </w:rPr>
        <w:t xml:space="preserve">Determinándose de lo anterior que el Punto Particular que genera esta Resolución debe ser despejado, </w:t>
      </w:r>
      <w:r w:rsidRPr="004E6412">
        <w:rPr>
          <w:rFonts w:ascii="Times New Roman" w:eastAsia="Calibri" w:hAnsi="Times New Roman" w:cs="Times New Roman"/>
          <w:b/>
          <w:i/>
          <w:sz w:val="26"/>
          <w:szCs w:val="26"/>
        </w:rPr>
        <w:t>bajo la plena convicción de que él mismo es solo una parte del Fundamento Jurídico del Acto Resolutorio emitido</w:t>
      </w:r>
      <w:r w:rsidRPr="004E6412">
        <w:rPr>
          <w:rFonts w:ascii="Times New Roman" w:eastAsia="Calibri" w:hAnsi="Times New Roman" w:cs="Times New Roman"/>
          <w:sz w:val="26"/>
          <w:szCs w:val="26"/>
        </w:rPr>
        <w:t xml:space="preserve">. </w:t>
      </w:r>
    </w:p>
    <w:p w:rsidR="004E6412" w:rsidRPr="004E6412" w:rsidRDefault="004E6412" w:rsidP="004E6412">
      <w:pPr>
        <w:spacing w:after="200" w:line="276" w:lineRule="auto"/>
        <w:jc w:val="both"/>
        <w:rPr>
          <w:rFonts w:ascii="Times New Roman" w:eastAsia="Calibri" w:hAnsi="Times New Roman" w:cs="Times New Roman"/>
          <w:i/>
          <w:sz w:val="26"/>
          <w:szCs w:val="26"/>
        </w:rPr>
      </w:pPr>
      <w:r w:rsidRPr="004E6412">
        <w:rPr>
          <w:rFonts w:ascii="Times New Roman" w:eastAsia="Calibri" w:hAnsi="Times New Roman" w:cs="Times New Roman"/>
          <w:sz w:val="26"/>
          <w:szCs w:val="26"/>
        </w:rPr>
        <w:t>Así las cosas, se deja en claro la situación parcial y relativa antes comentada y se procede a su clarificación debida (</w:t>
      </w:r>
      <w:r w:rsidRPr="004E6412">
        <w:rPr>
          <w:rFonts w:ascii="Times New Roman" w:eastAsia="Calibri" w:hAnsi="Times New Roman" w:cs="Times New Roman"/>
          <w:i/>
          <w:sz w:val="26"/>
          <w:szCs w:val="26"/>
        </w:rPr>
        <w:t>en concomitancia con lo determinado por los Artículos 130.2, 157 y 187 de la Ley General de la Administración Pública</w:t>
      </w:r>
      <w:r w:rsidRPr="004E6412">
        <w:rPr>
          <w:rFonts w:ascii="Times New Roman" w:eastAsia="Calibri" w:hAnsi="Times New Roman" w:cs="Times New Roman"/>
          <w:sz w:val="26"/>
          <w:szCs w:val="26"/>
        </w:rPr>
        <w:t>).</w:t>
      </w:r>
    </w:p>
    <w:p w:rsidR="004E6412" w:rsidRPr="004E6412" w:rsidRDefault="004E6412" w:rsidP="004E6412">
      <w:pPr>
        <w:spacing w:before="100" w:beforeAutospacing="1" w:after="100" w:afterAutospacing="1" w:line="240" w:lineRule="auto"/>
        <w:ind w:left="426" w:right="474"/>
        <w:jc w:val="both"/>
        <w:rPr>
          <w:rFonts w:ascii="Cambria" w:eastAsia="Times New Roman" w:hAnsi="Cambria" w:cs="Times New Roman"/>
          <w:i/>
          <w:iCs/>
          <w:color w:val="000000"/>
          <w:sz w:val="24"/>
          <w:szCs w:val="24"/>
          <w:lang w:val="es-ES" w:eastAsia="es-CR"/>
        </w:rPr>
      </w:pPr>
      <w:r w:rsidRPr="004E6412">
        <w:rPr>
          <w:rFonts w:ascii="Cambria" w:eastAsia="Times New Roman" w:hAnsi="Cambria" w:cs="Times New Roman"/>
          <w:i/>
          <w:iCs/>
          <w:color w:val="000000"/>
          <w:sz w:val="24"/>
          <w:szCs w:val="24"/>
          <w:lang w:val="es-ES" w:eastAsia="es-CR"/>
        </w:rPr>
        <w:t>"Artículo 130.-</w:t>
      </w:r>
    </w:p>
    <w:p w:rsidR="004E6412" w:rsidRPr="004E6412" w:rsidRDefault="004E6412" w:rsidP="004E6412">
      <w:pPr>
        <w:spacing w:before="100" w:beforeAutospacing="1" w:after="100" w:afterAutospacing="1" w:line="240" w:lineRule="auto"/>
        <w:ind w:left="426" w:right="474"/>
        <w:jc w:val="both"/>
        <w:rPr>
          <w:rFonts w:ascii="Cambria" w:eastAsia="Times New Roman" w:hAnsi="Cambria" w:cs="Times New Roman"/>
          <w:i/>
          <w:iCs/>
          <w:color w:val="000000"/>
          <w:sz w:val="24"/>
          <w:szCs w:val="24"/>
          <w:lang w:val="es-MX" w:eastAsia="es-CR"/>
        </w:rPr>
      </w:pPr>
      <w:r w:rsidRPr="004E6412">
        <w:rPr>
          <w:rFonts w:ascii="Cambria" w:eastAsia="Times New Roman" w:hAnsi="Cambria" w:cs="Times New Roman"/>
          <w:i/>
          <w:iCs/>
          <w:color w:val="000000"/>
          <w:sz w:val="24"/>
          <w:szCs w:val="24"/>
          <w:lang w:val="es-ES" w:eastAsia="es-CR"/>
        </w:rPr>
        <w:t xml:space="preserve">1. El acto deberá aparecer objetivamente como una manifestación de voluntad libre y consciente, dirigida a producir el efecto jurídico deseado para el fin querido por el ordenamiento. </w:t>
      </w:r>
    </w:p>
    <w:p w:rsidR="004E6412" w:rsidRPr="004E6412" w:rsidRDefault="004E6412" w:rsidP="004E6412">
      <w:pPr>
        <w:spacing w:before="100" w:beforeAutospacing="1" w:after="100" w:afterAutospacing="1" w:line="240" w:lineRule="auto"/>
        <w:ind w:left="426" w:right="474"/>
        <w:jc w:val="both"/>
        <w:rPr>
          <w:rFonts w:ascii="Cambria" w:eastAsia="Times New Roman" w:hAnsi="Cambria" w:cs="Times New Roman"/>
          <w:i/>
          <w:iCs/>
          <w:color w:val="000000"/>
          <w:sz w:val="28"/>
          <w:szCs w:val="28"/>
          <w:lang w:val="es-ES" w:eastAsia="es-CR"/>
        </w:rPr>
      </w:pPr>
      <w:r w:rsidRPr="004E6412">
        <w:rPr>
          <w:rFonts w:ascii="Cambria" w:eastAsia="Times New Roman" w:hAnsi="Cambria" w:cs="Times New Roman"/>
          <w:b/>
          <w:i/>
          <w:iCs/>
          <w:color w:val="000000"/>
          <w:sz w:val="28"/>
          <w:szCs w:val="28"/>
          <w:lang w:val="es-ES" w:eastAsia="es-CR"/>
        </w:rPr>
        <w:t xml:space="preserve">2. </w:t>
      </w:r>
      <w:r w:rsidRPr="004E6412">
        <w:rPr>
          <w:rFonts w:ascii="Cambria" w:eastAsia="Times New Roman" w:hAnsi="Cambria" w:cs="Times New Roman"/>
          <w:i/>
          <w:iCs/>
          <w:color w:val="000000"/>
          <w:sz w:val="28"/>
          <w:szCs w:val="28"/>
          <w:lang w:val="es-ES" w:eastAsia="es-CR"/>
        </w:rPr>
        <w:t xml:space="preserve">El error no será vicio del acto </w:t>
      </w:r>
      <w:proofErr w:type="gramStart"/>
      <w:r w:rsidRPr="004E6412">
        <w:rPr>
          <w:rFonts w:ascii="Cambria" w:eastAsia="Times New Roman" w:hAnsi="Cambria" w:cs="Times New Roman"/>
          <w:i/>
          <w:iCs/>
          <w:color w:val="000000"/>
          <w:sz w:val="28"/>
          <w:szCs w:val="28"/>
          <w:lang w:val="es-ES" w:eastAsia="es-CR"/>
        </w:rPr>
        <w:t>administrativo</w:t>
      </w:r>
      <w:proofErr w:type="gramEnd"/>
      <w:r w:rsidRPr="004E6412">
        <w:rPr>
          <w:rFonts w:ascii="Cambria" w:eastAsia="Times New Roman" w:hAnsi="Cambria" w:cs="Times New Roman"/>
          <w:b/>
          <w:i/>
          <w:iCs/>
          <w:color w:val="000000"/>
          <w:sz w:val="28"/>
          <w:szCs w:val="28"/>
          <w:lang w:val="es-ES" w:eastAsia="es-CR"/>
        </w:rPr>
        <w:t xml:space="preserve"> </w:t>
      </w:r>
      <w:r w:rsidRPr="004E6412">
        <w:rPr>
          <w:rFonts w:ascii="Cambria" w:eastAsia="Times New Roman" w:hAnsi="Cambria" w:cs="Times New Roman"/>
          <w:i/>
          <w:iCs/>
          <w:color w:val="000000"/>
          <w:sz w:val="28"/>
          <w:szCs w:val="28"/>
          <w:lang w:val="es-ES" w:eastAsia="es-CR"/>
        </w:rPr>
        <w:t xml:space="preserve">pero cuando recaiga sobre otros elementos del mismo, la ausencia de éstos viciará el acto, de conformidad con esta ley. </w:t>
      </w:r>
    </w:p>
    <w:p w:rsidR="004E6412" w:rsidRPr="004E6412" w:rsidRDefault="004E6412" w:rsidP="004E6412">
      <w:pPr>
        <w:spacing w:before="100" w:beforeAutospacing="1" w:after="100" w:afterAutospacing="1" w:line="240" w:lineRule="auto"/>
        <w:ind w:left="426" w:right="474"/>
        <w:jc w:val="both"/>
        <w:rPr>
          <w:rFonts w:ascii="Cambria" w:eastAsia="Times New Roman" w:hAnsi="Cambria" w:cs="Times New Roman"/>
          <w:i/>
          <w:iCs/>
          <w:color w:val="000000"/>
          <w:sz w:val="24"/>
          <w:szCs w:val="24"/>
          <w:lang w:val="es-ES" w:eastAsia="es-CR"/>
        </w:rPr>
      </w:pPr>
      <w:r w:rsidRPr="004E6412">
        <w:rPr>
          <w:rFonts w:ascii="Cambria" w:eastAsia="Times New Roman" w:hAnsi="Cambria" w:cs="Times New Roman"/>
          <w:i/>
          <w:iCs/>
          <w:color w:val="000000"/>
          <w:sz w:val="24"/>
          <w:szCs w:val="24"/>
          <w:lang w:val="es-ES" w:eastAsia="es-CR"/>
        </w:rPr>
        <w:t xml:space="preserve"> 3. El dolo y la violencia viciarán el acto únicamente cuando constituyan desviación de poder. " </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b/>
          <w:sz w:val="26"/>
          <w:szCs w:val="26"/>
        </w:rPr>
      </w:pPr>
      <w:r w:rsidRPr="004E6412">
        <w:rPr>
          <w:rFonts w:ascii="Times New Roman" w:eastAsia="Calibri" w:hAnsi="Times New Roman" w:cs="Times New Roman"/>
          <w:sz w:val="26"/>
          <w:szCs w:val="26"/>
        </w:rPr>
        <w:t xml:space="preserve">Así las cosas, se hace necesario dilucidar la situación comentada y realizar las correcciones pertinentes, dejándose en claro que la misma se realiza bajo el Principio de Conservación de los Actos, tutelado por los numerales 168 y 186 de la Ley General de la Administración Pública, y en Respeto a lo Previamente Definido, SIN VARIAR EL LA DISPOSICIÓN FINAL DE NUESTRO ACTO RESOLUTORIO DICHO Y SIN AFECTAR LOS DERECHOS DEL RECURRENTE. Esto en consideración de que lo valorado y definido en cuanto al numeral 2 de la Ley No. 7969, según la reforma introducida mediante el artículo 2 de la Ley No. 8955, </w:t>
      </w:r>
      <w:r w:rsidRPr="004E6412">
        <w:rPr>
          <w:rFonts w:ascii="Times New Roman" w:eastAsia="Calibri" w:hAnsi="Times New Roman" w:cs="Times New Roman"/>
          <w:b/>
          <w:sz w:val="26"/>
          <w:szCs w:val="26"/>
        </w:rPr>
        <w:t xml:space="preserve">NO FUE NI EL PRINCIPAL NI EL ÚNICO RAZONAMIENTO Y/O FUNDAMENTO CONSIDERADO PARA LA EMISIÓN DEL ACTO RESOLUTORIO ALUDIDO. Ni su sustracción o no consideración tampoco vicia el Fundamento Total dado en el Acto Resolutorio, ninguno de sus otros Elementos Esenciales. </w:t>
      </w: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sz w:val="26"/>
          <w:szCs w:val="26"/>
        </w:rPr>
        <w:t xml:space="preserve">También estímese </w:t>
      </w:r>
      <w:proofErr w:type="gramStart"/>
      <w:r w:rsidRPr="004E6412">
        <w:rPr>
          <w:rFonts w:ascii="Times New Roman" w:eastAsia="Calibri" w:hAnsi="Times New Roman" w:cs="Times New Roman"/>
          <w:sz w:val="26"/>
          <w:szCs w:val="26"/>
        </w:rPr>
        <w:t>que</w:t>
      </w:r>
      <w:proofErr w:type="gramEnd"/>
      <w:r w:rsidRPr="004E6412">
        <w:rPr>
          <w:rFonts w:ascii="Times New Roman" w:eastAsia="Calibri" w:hAnsi="Times New Roman" w:cs="Times New Roman"/>
          <w:sz w:val="26"/>
          <w:szCs w:val="26"/>
        </w:rPr>
        <w:t xml:space="preserve"> aunque es de orden general, la Inconstitucionalidad aludida no procura -</w:t>
      </w:r>
      <w:r w:rsidRPr="004E6412">
        <w:rPr>
          <w:rFonts w:ascii="Times New Roman" w:eastAsia="Calibri" w:hAnsi="Times New Roman" w:cs="Times New Roman"/>
          <w:i/>
          <w:sz w:val="26"/>
          <w:szCs w:val="26"/>
        </w:rPr>
        <w:t>cierta y directamente</w:t>
      </w:r>
      <w:r w:rsidRPr="004E6412">
        <w:rPr>
          <w:rFonts w:ascii="Times New Roman" w:eastAsia="Calibri" w:hAnsi="Times New Roman" w:cs="Times New Roman"/>
          <w:sz w:val="26"/>
          <w:szCs w:val="26"/>
        </w:rPr>
        <w:t>- la anulación del Artículo 2 de la Ley No. 8955 en lo que interesa y podría no conllevarle afectación alguna.</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Cambria" w:eastAsia="Calibri" w:hAnsi="Cambria" w:cs="Arial"/>
          <w:color w:val="000000"/>
          <w:sz w:val="26"/>
          <w:szCs w:val="26"/>
        </w:rPr>
      </w:pPr>
      <w:r w:rsidRPr="004E6412">
        <w:rPr>
          <w:rFonts w:ascii="Times New Roman" w:eastAsia="Calibri" w:hAnsi="Times New Roman" w:cs="Times New Roman"/>
          <w:sz w:val="26"/>
          <w:szCs w:val="26"/>
        </w:rPr>
        <w:t>Y conforme a lo expuesto se dilucida y dispone tener por “no puesto” y por sustraído del contenido y fundamento de nuestra Resolución aludida, particularmente del Punto Quinto de su parte Considerativa, el sustrato relativo a la aplicación del numeral 2 de la Ley No. 7969, según la reforma introducida mediante el artículo 2 de la Ley No. 8955, manteniéndose la misma en todo lo demás que no presenta afectación alguna.</w:t>
      </w:r>
    </w:p>
    <w:p w:rsidR="004E6412" w:rsidRPr="004E6412" w:rsidRDefault="004E6412" w:rsidP="004E6412">
      <w:pPr>
        <w:spacing w:after="0" w:line="240" w:lineRule="auto"/>
        <w:rPr>
          <w:rFonts w:ascii="Calibri" w:eastAsia="Calibri" w:hAnsi="Calibri" w:cs="Times New Roman"/>
          <w:sz w:val="16"/>
          <w:szCs w:val="16"/>
        </w:rPr>
      </w:pP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sz w:val="26"/>
          <w:szCs w:val="26"/>
        </w:rPr>
        <w:t>En todo caso, lo argumentado y determinado finalmente mediante la Resolución referida, se mantiene invariable y con vigencia desde la adopción del Acto señalado (</w:t>
      </w:r>
      <w:r w:rsidRPr="004E6412">
        <w:rPr>
          <w:rFonts w:ascii="Times New Roman" w:eastAsia="Calibri" w:hAnsi="Times New Roman" w:cs="Times New Roman"/>
          <w:i/>
          <w:sz w:val="26"/>
          <w:szCs w:val="26"/>
        </w:rPr>
        <w:t>en concordancia con lo dispuesto por el Artículo 187 LGAP</w:t>
      </w:r>
      <w:r w:rsidRPr="004E6412">
        <w:rPr>
          <w:rFonts w:ascii="Times New Roman" w:eastAsia="Calibri" w:hAnsi="Times New Roman" w:cs="Times New Roman"/>
          <w:sz w:val="26"/>
          <w:szCs w:val="26"/>
        </w:rPr>
        <w:t>).</w:t>
      </w:r>
    </w:p>
    <w:p w:rsidR="004E6412" w:rsidRPr="004E6412" w:rsidRDefault="004E6412" w:rsidP="004E6412">
      <w:pPr>
        <w:spacing w:after="200" w:line="276" w:lineRule="auto"/>
        <w:jc w:val="center"/>
        <w:rPr>
          <w:rFonts w:ascii="Times New Roman" w:eastAsia="Calibri" w:hAnsi="Times New Roman" w:cs="Times New Roman"/>
          <w:b/>
          <w:i/>
          <w:sz w:val="26"/>
          <w:szCs w:val="26"/>
        </w:rPr>
      </w:pPr>
    </w:p>
    <w:p w:rsidR="004E6412" w:rsidRPr="004E6412" w:rsidRDefault="004E6412" w:rsidP="004E6412">
      <w:pPr>
        <w:spacing w:after="200" w:line="276" w:lineRule="auto"/>
        <w:jc w:val="center"/>
        <w:rPr>
          <w:rFonts w:ascii="Times New Roman" w:eastAsia="Calibri" w:hAnsi="Times New Roman" w:cs="Times New Roman"/>
          <w:b/>
          <w:i/>
          <w:sz w:val="26"/>
          <w:szCs w:val="26"/>
        </w:rPr>
      </w:pPr>
    </w:p>
    <w:p w:rsidR="004E6412" w:rsidRPr="004E6412" w:rsidRDefault="004E6412" w:rsidP="004E6412">
      <w:pPr>
        <w:spacing w:after="200" w:line="276" w:lineRule="auto"/>
        <w:jc w:val="center"/>
        <w:rPr>
          <w:rFonts w:ascii="Times New Roman" w:eastAsia="Calibri" w:hAnsi="Times New Roman" w:cs="Times New Roman"/>
          <w:b/>
          <w:i/>
          <w:sz w:val="26"/>
          <w:szCs w:val="26"/>
        </w:rPr>
      </w:pPr>
    </w:p>
    <w:p w:rsidR="004E6412" w:rsidRPr="004E6412" w:rsidRDefault="004E6412" w:rsidP="004E6412">
      <w:pPr>
        <w:spacing w:after="200" w:line="276" w:lineRule="auto"/>
        <w:jc w:val="center"/>
        <w:rPr>
          <w:rFonts w:ascii="Times New Roman" w:eastAsia="Calibri" w:hAnsi="Times New Roman" w:cs="Times New Roman"/>
          <w:b/>
          <w:i/>
          <w:sz w:val="26"/>
          <w:szCs w:val="26"/>
        </w:rPr>
      </w:pPr>
      <w:r w:rsidRPr="004E6412">
        <w:rPr>
          <w:rFonts w:ascii="Times New Roman" w:eastAsia="Calibri" w:hAnsi="Times New Roman" w:cs="Times New Roman"/>
          <w:b/>
          <w:i/>
          <w:sz w:val="26"/>
          <w:szCs w:val="26"/>
        </w:rPr>
        <w:t>Por Tanto</w:t>
      </w: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1.-</w:t>
      </w:r>
      <w:r w:rsidRPr="004E6412">
        <w:rPr>
          <w:rFonts w:ascii="Times New Roman" w:eastAsia="Calibri" w:hAnsi="Times New Roman" w:cs="Times New Roman"/>
          <w:sz w:val="26"/>
          <w:szCs w:val="26"/>
        </w:rPr>
        <w:tab/>
        <w:t xml:space="preserve">En los términos expuesto se tiene como aclarado lo determinado parcial y relativamente en el contenido y fundamento de nuestra Resolución No. TAT-3026-2016, emitida a las 10:13 horas del día Veintinueve del mes de </w:t>
      </w:r>
      <w:proofErr w:type="gramStart"/>
      <w:r w:rsidRPr="004E6412">
        <w:rPr>
          <w:rFonts w:ascii="Times New Roman" w:eastAsia="Calibri" w:hAnsi="Times New Roman" w:cs="Times New Roman"/>
          <w:sz w:val="26"/>
          <w:szCs w:val="26"/>
        </w:rPr>
        <w:t>Junio</w:t>
      </w:r>
      <w:proofErr w:type="gramEnd"/>
      <w:r w:rsidRPr="004E6412">
        <w:rPr>
          <w:rFonts w:ascii="Times New Roman" w:eastAsia="Calibri" w:hAnsi="Times New Roman" w:cs="Times New Roman"/>
          <w:sz w:val="26"/>
          <w:szCs w:val="26"/>
        </w:rPr>
        <w:t xml:space="preserve"> del año en curso </w:t>
      </w:r>
      <w:r w:rsidRPr="004E6412">
        <w:rPr>
          <w:rFonts w:ascii="Times New Roman" w:eastAsia="Calibri" w:hAnsi="Times New Roman" w:cs="Times New Roman"/>
          <w:sz w:val="26"/>
          <w:szCs w:val="26"/>
        </w:rPr>
        <w:lastRenderedPageBreak/>
        <w:t>en cuanto al uso del numeral 2 de la Ley No. 7969, según la reforma introducida mediante el artículo 2 de la Ley No. 8955.</w:t>
      </w:r>
    </w:p>
    <w:p w:rsidR="004E6412" w:rsidRPr="004E6412" w:rsidRDefault="004E6412" w:rsidP="004E6412">
      <w:pPr>
        <w:spacing w:after="200" w:line="276" w:lineRule="auto"/>
        <w:jc w:val="both"/>
        <w:rPr>
          <w:rFonts w:ascii="Times New Roman" w:eastAsia="Calibri" w:hAnsi="Times New Roman" w:cs="Times New Roman"/>
          <w:sz w:val="26"/>
          <w:szCs w:val="26"/>
        </w:rPr>
      </w:pPr>
      <w:r w:rsidRPr="004E6412">
        <w:rPr>
          <w:rFonts w:ascii="Times New Roman" w:eastAsia="Calibri" w:hAnsi="Times New Roman" w:cs="Times New Roman"/>
          <w:b/>
          <w:sz w:val="26"/>
          <w:szCs w:val="26"/>
        </w:rPr>
        <w:t>2.-</w:t>
      </w:r>
      <w:r w:rsidRPr="004E6412">
        <w:rPr>
          <w:rFonts w:ascii="Times New Roman" w:eastAsia="Calibri" w:hAnsi="Times New Roman" w:cs="Times New Roman"/>
          <w:sz w:val="26"/>
          <w:szCs w:val="26"/>
        </w:rPr>
        <w:tab/>
        <w:t>En todo se mantiene el Agotamiento de la Vía Administrativa expresado en la Resolución referida.</w:t>
      </w:r>
    </w:p>
    <w:p w:rsidR="004E6412" w:rsidRPr="004E6412" w:rsidRDefault="004E6412" w:rsidP="004E6412">
      <w:pPr>
        <w:spacing w:after="200" w:line="276" w:lineRule="auto"/>
        <w:jc w:val="both"/>
        <w:rPr>
          <w:rFonts w:ascii="Times New Roman" w:eastAsia="Calibri" w:hAnsi="Times New Roman" w:cs="Times New Roman"/>
          <w:b/>
          <w:sz w:val="26"/>
          <w:szCs w:val="26"/>
        </w:rPr>
      </w:pPr>
      <w:r w:rsidRPr="004E6412">
        <w:rPr>
          <w:rFonts w:ascii="Times New Roman" w:eastAsia="Calibri" w:hAnsi="Times New Roman" w:cs="Times New Roman"/>
          <w:b/>
          <w:sz w:val="26"/>
          <w:szCs w:val="26"/>
        </w:rPr>
        <w:t>NOTIFÍQUESE.</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both"/>
        <w:rPr>
          <w:rFonts w:ascii="Times New Roman" w:eastAsia="Calibri" w:hAnsi="Times New Roman" w:cs="Times New Roman"/>
          <w:sz w:val="26"/>
          <w:szCs w:val="26"/>
        </w:rPr>
      </w:pPr>
    </w:p>
    <w:p w:rsidR="004E6412" w:rsidRPr="004E6412" w:rsidRDefault="004E6412" w:rsidP="004E6412">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6"/>
          <w:szCs w:val="26"/>
          <w:lang w:val="pt-BR" w:eastAsia="es-CR"/>
        </w:rPr>
      </w:pPr>
      <w:r w:rsidRPr="004E6412">
        <w:rPr>
          <w:rFonts w:ascii="Times New Roman" w:eastAsiaTheme="majorEastAsia" w:hAnsi="Times New Roman" w:cs="Times New Roman"/>
          <w:color w:val="000000" w:themeColor="text1"/>
          <w:sz w:val="26"/>
          <w:szCs w:val="26"/>
          <w:lang w:val="pt-BR" w:eastAsia="es-CR"/>
        </w:rPr>
        <w:t xml:space="preserve">Lic. Carlos Miguel </w:t>
      </w:r>
      <w:proofErr w:type="spellStart"/>
      <w:r w:rsidRPr="004E6412">
        <w:rPr>
          <w:rFonts w:ascii="Times New Roman" w:eastAsiaTheme="majorEastAsia" w:hAnsi="Times New Roman" w:cs="Times New Roman"/>
          <w:color w:val="000000" w:themeColor="text1"/>
          <w:sz w:val="26"/>
          <w:szCs w:val="26"/>
          <w:lang w:val="pt-BR" w:eastAsia="es-CR"/>
        </w:rPr>
        <w:t>Portuguez</w:t>
      </w:r>
      <w:proofErr w:type="spellEnd"/>
      <w:r w:rsidRPr="004E6412">
        <w:rPr>
          <w:rFonts w:ascii="Times New Roman" w:eastAsiaTheme="majorEastAsia" w:hAnsi="Times New Roman" w:cs="Times New Roman"/>
          <w:color w:val="000000" w:themeColor="text1"/>
          <w:sz w:val="26"/>
          <w:szCs w:val="26"/>
          <w:lang w:val="pt-BR" w:eastAsia="es-CR"/>
        </w:rPr>
        <w:t xml:space="preserve"> </w:t>
      </w:r>
      <w:proofErr w:type="spellStart"/>
      <w:r w:rsidRPr="004E6412">
        <w:rPr>
          <w:rFonts w:ascii="Times New Roman" w:eastAsiaTheme="majorEastAsia" w:hAnsi="Times New Roman" w:cs="Times New Roman"/>
          <w:color w:val="000000" w:themeColor="text1"/>
          <w:sz w:val="26"/>
          <w:szCs w:val="26"/>
          <w:lang w:val="pt-BR" w:eastAsia="es-CR"/>
        </w:rPr>
        <w:t>Méndez</w:t>
      </w:r>
      <w:proofErr w:type="spellEnd"/>
    </w:p>
    <w:p w:rsidR="004E6412" w:rsidRPr="004E6412" w:rsidRDefault="004E6412" w:rsidP="004E6412">
      <w:pPr>
        <w:spacing w:after="200" w:line="276" w:lineRule="auto"/>
        <w:jc w:val="center"/>
        <w:rPr>
          <w:rFonts w:ascii="Times New Roman" w:eastAsia="Calibri" w:hAnsi="Times New Roman" w:cs="Times New Roman"/>
          <w:b/>
          <w:color w:val="000000" w:themeColor="text1"/>
          <w:sz w:val="26"/>
          <w:szCs w:val="26"/>
        </w:rPr>
      </w:pPr>
      <w:r w:rsidRPr="004E6412">
        <w:rPr>
          <w:rFonts w:ascii="Times New Roman" w:eastAsia="Calibri" w:hAnsi="Times New Roman" w:cs="Times New Roman"/>
          <w:b/>
          <w:color w:val="000000" w:themeColor="text1"/>
          <w:sz w:val="26"/>
          <w:szCs w:val="26"/>
        </w:rPr>
        <w:t>PRESIDENTE</w:t>
      </w:r>
    </w:p>
    <w:p w:rsidR="004E6412" w:rsidRPr="004E6412" w:rsidRDefault="004E6412" w:rsidP="004E6412">
      <w:pPr>
        <w:spacing w:after="0" w:line="240" w:lineRule="auto"/>
        <w:rPr>
          <w:rFonts w:ascii="Calibri" w:eastAsia="Calibri" w:hAnsi="Calibri" w:cs="Times New Roman"/>
        </w:rPr>
      </w:pPr>
    </w:p>
    <w:p w:rsidR="004E6412" w:rsidRPr="004E6412" w:rsidRDefault="004E6412" w:rsidP="004E6412">
      <w:pPr>
        <w:spacing w:after="200" w:line="276" w:lineRule="auto"/>
        <w:jc w:val="center"/>
        <w:rPr>
          <w:rFonts w:ascii="Times New Roman" w:eastAsia="Calibri" w:hAnsi="Times New Roman" w:cs="Times New Roman"/>
          <w:b/>
          <w:color w:val="000000" w:themeColor="text1"/>
          <w:sz w:val="26"/>
          <w:szCs w:val="26"/>
        </w:rPr>
      </w:pPr>
    </w:p>
    <w:p w:rsidR="004E6412" w:rsidRPr="004E6412" w:rsidRDefault="004E6412" w:rsidP="004E6412">
      <w:pPr>
        <w:keepNext/>
        <w:keepLines/>
        <w:widowControl w:val="0"/>
        <w:kinsoku w:val="0"/>
        <w:spacing w:before="240" w:after="0" w:line="240" w:lineRule="auto"/>
        <w:jc w:val="center"/>
        <w:outlineLvl w:val="0"/>
        <w:rPr>
          <w:rFonts w:ascii="Times New Roman" w:eastAsiaTheme="majorEastAsia" w:hAnsi="Times New Roman" w:cs="Times New Roman"/>
          <w:b/>
          <w:color w:val="000000" w:themeColor="text1"/>
          <w:sz w:val="26"/>
          <w:szCs w:val="26"/>
          <w:lang w:val="en-US" w:eastAsia="es-CR"/>
        </w:rPr>
      </w:pPr>
      <w:proofErr w:type="spellStart"/>
      <w:r w:rsidRPr="004E6412">
        <w:rPr>
          <w:rFonts w:ascii="Times New Roman" w:eastAsiaTheme="majorEastAsia" w:hAnsi="Times New Roman" w:cs="Times New Roman"/>
          <w:color w:val="000000" w:themeColor="text1"/>
          <w:sz w:val="26"/>
          <w:szCs w:val="26"/>
          <w:lang w:val="en-US" w:eastAsia="es-CR"/>
        </w:rPr>
        <w:t>Lic</w:t>
      </w:r>
      <w:proofErr w:type="spellEnd"/>
      <w:r w:rsidRPr="004E6412">
        <w:rPr>
          <w:rFonts w:ascii="Times New Roman" w:eastAsiaTheme="majorEastAsia" w:hAnsi="Times New Roman" w:cs="Times New Roman"/>
          <w:color w:val="000000" w:themeColor="text1"/>
          <w:sz w:val="26"/>
          <w:szCs w:val="26"/>
          <w:lang w:val="en-US" w:eastAsia="es-CR"/>
        </w:rPr>
        <w:t>.  Mario Quesada Aguirre</w:t>
      </w:r>
      <w:r w:rsidRPr="004E6412">
        <w:rPr>
          <w:rFonts w:ascii="Times New Roman" w:eastAsiaTheme="majorEastAsia" w:hAnsi="Times New Roman" w:cs="Times New Roman"/>
          <w:color w:val="000000" w:themeColor="text1"/>
          <w:sz w:val="26"/>
          <w:szCs w:val="26"/>
          <w:lang w:val="en-US" w:eastAsia="es-CR"/>
        </w:rPr>
        <w:tab/>
      </w:r>
      <w:r w:rsidRPr="004E6412">
        <w:rPr>
          <w:rFonts w:ascii="Times New Roman" w:eastAsiaTheme="majorEastAsia" w:hAnsi="Times New Roman" w:cs="Times New Roman"/>
          <w:color w:val="000000" w:themeColor="text1"/>
          <w:sz w:val="26"/>
          <w:szCs w:val="26"/>
          <w:lang w:val="en-US" w:eastAsia="es-CR"/>
        </w:rPr>
        <w:tab/>
        <w:t xml:space="preserve">            </w:t>
      </w:r>
      <w:proofErr w:type="spellStart"/>
      <w:r w:rsidRPr="004E6412">
        <w:rPr>
          <w:rFonts w:ascii="Times New Roman" w:eastAsiaTheme="majorEastAsia" w:hAnsi="Times New Roman" w:cs="Times New Roman"/>
          <w:color w:val="000000" w:themeColor="text1"/>
          <w:sz w:val="26"/>
          <w:szCs w:val="26"/>
          <w:lang w:val="en-US" w:eastAsia="es-CR"/>
        </w:rPr>
        <w:t>Licda</w:t>
      </w:r>
      <w:proofErr w:type="spellEnd"/>
      <w:r w:rsidRPr="004E6412">
        <w:rPr>
          <w:rFonts w:ascii="Times New Roman" w:eastAsiaTheme="majorEastAsia" w:hAnsi="Times New Roman" w:cs="Times New Roman"/>
          <w:color w:val="000000" w:themeColor="text1"/>
          <w:sz w:val="26"/>
          <w:szCs w:val="26"/>
          <w:lang w:val="en-US" w:eastAsia="es-CR"/>
        </w:rPr>
        <w:t xml:space="preserve">. Marta Luz Pérez </w:t>
      </w:r>
      <w:proofErr w:type="spellStart"/>
      <w:r w:rsidRPr="004E6412">
        <w:rPr>
          <w:rFonts w:ascii="Times New Roman" w:eastAsiaTheme="majorEastAsia" w:hAnsi="Times New Roman" w:cs="Times New Roman"/>
          <w:color w:val="000000" w:themeColor="text1"/>
          <w:sz w:val="26"/>
          <w:szCs w:val="26"/>
          <w:lang w:val="en-US" w:eastAsia="es-CR"/>
        </w:rPr>
        <w:t>Peláez</w:t>
      </w:r>
      <w:proofErr w:type="spellEnd"/>
    </w:p>
    <w:p w:rsidR="004E6412" w:rsidRPr="004E6412" w:rsidRDefault="004E6412" w:rsidP="004E6412">
      <w:pPr>
        <w:spacing w:after="200" w:line="276" w:lineRule="auto"/>
        <w:rPr>
          <w:rFonts w:ascii="Times New Roman" w:eastAsia="Calibri" w:hAnsi="Times New Roman" w:cs="Times New Roman"/>
          <w:b/>
          <w:color w:val="000000" w:themeColor="text1"/>
          <w:sz w:val="26"/>
          <w:szCs w:val="26"/>
        </w:rPr>
      </w:pPr>
      <w:r w:rsidRPr="004E6412">
        <w:rPr>
          <w:rFonts w:ascii="Times New Roman" w:eastAsia="Calibri" w:hAnsi="Times New Roman" w:cs="Times New Roman"/>
          <w:b/>
          <w:color w:val="000000" w:themeColor="text1"/>
          <w:sz w:val="26"/>
          <w:szCs w:val="26"/>
        </w:rPr>
        <w:t xml:space="preserve">                       JUEZ </w:t>
      </w:r>
      <w:r w:rsidRPr="004E6412">
        <w:rPr>
          <w:rFonts w:ascii="Times New Roman" w:eastAsia="Calibri" w:hAnsi="Times New Roman" w:cs="Times New Roman"/>
          <w:b/>
          <w:color w:val="000000" w:themeColor="text1"/>
          <w:sz w:val="26"/>
          <w:szCs w:val="26"/>
        </w:rPr>
        <w:tab/>
      </w:r>
      <w:r w:rsidRPr="004E6412">
        <w:rPr>
          <w:rFonts w:ascii="Times New Roman" w:eastAsia="Calibri" w:hAnsi="Times New Roman" w:cs="Times New Roman"/>
          <w:b/>
          <w:color w:val="000000" w:themeColor="text1"/>
          <w:sz w:val="26"/>
          <w:szCs w:val="26"/>
        </w:rPr>
        <w:tab/>
        <w:t xml:space="preserve">                                           JUEZA</w:t>
      </w:r>
    </w:p>
    <w:p w:rsidR="00147A53" w:rsidRDefault="00147A53"/>
    <w:sectPr w:rsidR="00147A5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B6C" w:rsidRDefault="00F76B6C" w:rsidP="001A673E">
      <w:pPr>
        <w:spacing w:after="0" w:line="240" w:lineRule="auto"/>
      </w:pPr>
      <w:r>
        <w:separator/>
      </w:r>
    </w:p>
  </w:endnote>
  <w:endnote w:type="continuationSeparator" w:id="0">
    <w:p w:rsidR="00F76B6C" w:rsidRDefault="00F76B6C" w:rsidP="001A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B6C" w:rsidRDefault="00F76B6C" w:rsidP="001A673E">
      <w:pPr>
        <w:spacing w:after="0" w:line="240" w:lineRule="auto"/>
      </w:pPr>
      <w:r>
        <w:separator/>
      </w:r>
    </w:p>
  </w:footnote>
  <w:footnote w:type="continuationSeparator" w:id="0">
    <w:p w:rsidR="00F76B6C" w:rsidRDefault="00F76B6C" w:rsidP="001A67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412"/>
    <w:rsid w:val="00147A53"/>
    <w:rsid w:val="001A673E"/>
    <w:rsid w:val="004E6412"/>
    <w:rsid w:val="00F76B6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87B8A"/>
  <w15:chartTrackingRefBased/>
  <w15:docId w15:val="{A88F118D-0124-4B9F-BC5E-DD53F53F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6412"/>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E6412"/>
    <w:rPr>
      <w:rFonts w:ascii="Calibri" w:eastAsia="Calibri" w:hAnsi="Calibri" w:cs="Times New Roman"/>
    </w:rPr>
  </w:style>
  <w:style w:type="paragraph" w:styleId="Piedepgina">
    <w:name w:val="footer"/>
    <w:basedOn w:val="Normal"/>
    <w:link w:val="PiedepginaCar"/>
    <w:uiPriority w:val="99"/>
    <w:unhideWhenUsed/>
    <w:rsid w:val="004E6412"/>
    <w:pPr>
      <w:tabs>
        <w:tab w:val="center" w:pos="4419"/>
        <w:tab w:val="right" w:pos="8838"/>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4E6412"/>
    <w:rPr>
      <w:rFonts w:ascii="Calibri" w:eastAsia="Calibri" w:hAnsi="Calibri" w:cs="Times New Roman"/>
    </w:rPr>
  </w:style>
  <w:style w:type="paragraph" w:styleId="Encabezado">
    <w:name w:val="header"/>
    <w:basedOn w:val="Normal"/>
    <w:link w:val="EncabezadoCar"/>
    <w:uiPriority w:val="99"/>
    <w:unhideWhenUsed/>
    <w:rsid w:val="001A67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67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1324</Words>
  <Characters>7282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dc:creator>
  <cp:keywords/>
  <dc:description/>
  <cp:lastModifiedBy>Maricela Villegas</cp:lastModifiedBy>
  <cp:revision>2</cp:revision>
  <dcterms:created xsi:type="dcterms:W3CDTF">2016-10-31T15:22:00Z</dcterms:created>
  <dcterms:modified xsi:type="dcterms:W3CDTF">2016-10-31T15:26:00Z</dcterms:modified>
</cp:coreProperties>
</file>